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C852" w14:textId="02AC9127" w:rsidR="00FB389F" w:rsidRPr="00E74C19" w:rsidRDefault="009228F4" w:rsidP="00FB389F">
      <w:pPr>
        <w:jc w:val="center"/>
        <w:rPr>
          <w:rFonts w:ascii="Arial" w:eastAsia="Times New Roman" w:hAnsi="Arial" w:cs="Arial"/>
          <w:b/>
          <w:color w:val="000000" w:themeColor="accent6"/>
          <w:sz w:val="28"/>
          <w:szCs w:val="28"/>
          <w:lang w:val="de-DE" w:eastAsia="de-DE"/>
        </w:rPr>
      </w:pPr>
      <w:r w:rsidRPr="00E74C19">
        <w:rPr>
          <w:rFonts w:ascii="Arial" w:eastAsia="Times New Roman" w:hAnsi="Arial" w:cs="Arial"/>
          <w:b/>
          <w:color w:val="000000" w:themeColor="accent6"/>
          <w:sz w:val="28"/>
          <w:szCs w:val="28"/>
          <w:lang w:val="de-DE" w:eastAsia="de-DE"/>
        </w:rPr>
        <w:t>1</w:t>
      </w:r>
      <w:r w:rsidR="00FB389F" w:rsidRPr="00E74C19">
        <w:rPr>
          <w:rFonts w:ascii="Arial" w:eastAsia="Times New Roman" w:hAnsi="Arial" w:cs="Arial"/>
          <w:b/>
          <w:color w:val="000000" w:themeColor="accent6"/>
          <w:sz w:val="28"/>
          <w:szCs w:val="28"/>
          <w:lang w:val="de-DE" w:eastAsia="de-DE"/>
        </w:rPr>
        <w:t>.</w:t>
      </w:r>
      <w:r w:rsidRPr="00E74C19">
        <w:rPr>
          <w:rFonts w:ascii="Arial" w:eastAsia="Times New Roman" w:hAnsi="Arial" w:cs="Arial"/>
          <w:b/>
          <w:color w:val="000000" w:themeColor="accent6"/>
          <w:sz w:val="28"/>
          <w:szCs w:val="28"/>
          <w:lang w:val="de-DE" w:eastAsia="de-DE"/>
        </w:rPr>
        <w:t>4</w:t>
      </w:r>
      <w:r w:rsidR="00FB389F" w:rsidRPr="00E74C19">
        <w:rPr>
          <w:rFonts w:ascii="Arial" w:eastAsia="Times New Roman" w:hAnsi="Arial" w:cs="Arial"/>
          <w:b/>
          <w:color w:val="000000" w:themeColor="accent6"/>
          <w:sz w:val="28"/>
          <w:szCs w:val="28"/>
          <w:lang w:val="de-DE" w:eastAsia="de-DE"/>
        </w:rPr>
        <w:t xml:space="preserve"> Dokumentation</w:t>
      </w:r>
    </w:p>
    <w:p w14:paraId="28B9CD21" w14:textId="77777777" w:rsidR="00FB389F" w:rsidRPr="00B65CCA" w:rsidRDefault="00FB389F" w:rsidP="00B65CCA">
      <w:pPr>
        <w:jc w:val="center"/>
        <w:rPr>
          <w:rFonts w:ascii="Arial" w:eastAsia="Times New Roman" w:hAnsi="Arial" w:cs="Arial"/>
          <w:szCs w:val="20"/>
          <w:lang w:val="de-DE" w:eastAsia="de-DE"/>
        </w:rPr>
      </w:pPr>
    </w:p>
    <w:p w14:paraId="7AFF2E92" w14:textId="35E09CE2" w:rsidR="00FB389F" w:rsidRPr="006A7FEE" w:rsidRDefault="00FB389F" w:rsidP="00FB389F">
      <w:pPr>
        <w:jc w:val="both"/>
        <w:rPr>
          <w:rFonts w:ascii="Arial" w:eastAsia="Times New Roman" w:hAnsi="Arial" w:cs="Arial"/>
          <w:color w:val="FF0000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>Durch Kennzeichnung der prozessbegleitenden Dokumente und Daten</w:t>
      </w:r>
      <w:r w:rsidR="00C2623B" w:rsidRPr="00B65CCA">
        <w:rPr>
          <w:rFonts w:ascii="Arial" w:eastAsia="Times New Roman" w:hAnsi="Arial" w:cs="Arial"/>
          <w:szCs w:val="20"/>
          <w:lang w:val="de-DE" w:eastAsia="de-DE"/>
        </w:rPr>
        <w:t>,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werden Verwechslungen ausge</w:t>
      </w:r>
      <w:r w:rsidR="00C2623B" w:rsidRPr="00B65CCA">
        <w:rPr>
          <w:rFonts w:ascii="Arial" w:eastAsia="Times New Roman" w:hAnsi="Arial" w:cs="Arial"/>
          <w:szCs w:val="20"/>
          <w:lang w:val="de-DE" w:eastAsia="de-DE"/>
        </w:rPr>
        <w:softHyphen/>
      </w:r>
      <w:r w:rsidRPr="00B65CCA">
        <w:rPr>
          <w:rFonts w:ascii="Arial" w:eastAsia="Times New Roman" w:hAnsi="Arial" w:cs="Arial"/>
          <w:szCs w:val="20"/>
          <w:lang w:val="de-DE" w:eastAsia="de-DE"/>
        </w:rPr>
        <w:t>schlossen und die Identifikation, Rückverfolgbarkeit der einzelnen Dienstleistungen und internen Arbeitsabläufe</w:t>
      </w:r>
      <w:r w:rsidR="00C2623B" w:rsidRPr="00B65CCA">
        <w:rPr>
          <w:rFonts w:ascii="Arial" w:eastAsia="Times New Roman" w:hAnsi="Arial" w:cs="Arial"/>
          <w:szCs w:val="20"/>
          <w:lang w:val="de-DE" w:eastAsia="de-DE"/>
        </w:rPr>
        <w:t>,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sichergestellt. Dies gilt auch für das interne Controlling de</w:t>
      </w:r>
      <w:r w:rsidR="008C543D" w:rsidRPr="00B65CCA">
        <w:rPr>
          <w:rFonts w:ascii="Arial" w:eastAsia="Times New Roman" w:hAnsi="Arial" w:cs="Arial"/>
          <w:szCs w:val="20"/>
          <w:lang w:val="de-DE" w:eastAsia="de-DE"/>
        </w:rPr>
        <w:t xml:space="preserve">r relevanten </w:t>
      </w:r>
      <w:r w:rsidR="008C543D" w:rsidRPr="006A7FEE">
        <w:rPr>
          <w:rFonts w:ascii="Arial" w:eastAsia="Times New Roman" w:hAnsi="Arial" w:cs="Arial"/>
          <w:szCs w:val="20"/>
          <w:lang w:val="de-DE" w:eastAsia="de-DE"/>
        </w:rPr>
        <w:t>arbeitssicherheits</w:t>
      </w:r>
      <w:r w:rsidRPr="006A7FEE">
        <w:rPr>
          <w:rFonts w:ascii="Arial" w:eastAsia="Times New Roman" w:hAnsi="Arial" w:cs="Arial"/>
          <w:szCs w:val="20"/>
          <w:lang w:val="de-DE" w:eastAsia="de-DE"/>
        </w:rPr>
        <w:t>technischen Vorgaben, beginnend bei der Mitarbeiterauswahl</w:t>
      </w:r>
      <w:r w:rsidR="00C2623B" w:rsidRPr="006A7FEE">
        <w:rPr>
          <w:rFonts w:ascii="Arial" w:eastAsia="Times New Roman" w:hAnsi="Arial" w:cs="Arial"/>
          <w:szCs w:val="20"/>
          <w:lang w:val="de-DE" w:eastAsia="de-DE"/>
        </w:rPr>
        <w:t>,</w:t>
      </w: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 bis zum Austritt des Mitarbeiters</w:t>
      </w:r>
      <w:r w:rsidR="00984027" w:rsidRPr="006A7FEE">
        <w:rPr>
          <w:rFonts w:ascii="Arial" w:eastAsia="Times New Roman" w:hAnsi="Arial" w:cs="Arial"/>
          <w:szCs w:val="20"/>
          <w:lang w:val="de-DE" w:eastAsia="de-DE"/>
        </w:rPr>
        <w:t>.</w:t>
      </w: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 </w:t>
      </w:r>
      <w:r w:rsidR="008C543D" w:rsidRPr="006A7FEE">
        <w:rPr>
          <w:rFonts w:ascii="Arial" w:eastAsia="Times New Roman" w:hAnsi="Arial" w:cs="Arial"/>
          <w:szCs w:val="20"/>
          <w:lang w:val="de-DE" w:eastAsia="de-DE"/>
        </w:rPr>
        <w:t>(Details zur</w:t>
      </w:r>
      <w:r w:rsidR="005F6372" w:rsidRPr="006A7FEE">
        <w:rPr>
          <w:rFonts w:ascii="Arial" w:eastAsia="Times New Roman" w:hAnsi="Arial" w:cs="Arial"/>
          <w:szCs w:val="20"/>
          <w:lang w:val="de-DE" w:eastAsia="de-DE"/>
        </w:rPr>
        <w:t xml:space="preserve"> Umsetzung </w:t>
      </w:r>
      <w:r w:rsidR="008C543D" w:rsidRPr="006A7FEE">
        <w:rPr>
          <w:rFonts w:ascii="Arial" w:eastAsia="Times New Roman" w:hAnsi="Arial" w:cs="Arial"/>
          <w:szCs w:val="20"/>
          <w:lang w:val="de-DE" w:eastAsia="de-DE"/>
        </w:rPr>
        <w:t xml:space="preserve">siehe </w:t>
      </w:r>
      <w:r w:rsidR="009968B9" w:rsidRPr="006A7FEE">
        <w:rPr>
          <w:rFonts w:ascii="Arial" w:eastAsia="Times New Roman" w:hAnsi="Arial" w:cs="Arial"/>
          <w:szCs w:val="20"/>
          <w:lang w:val="de-DE" w:eastAsia="de-DE"/>
        </w:rPr>
        <w:t xml:space="preserve">HB I </w:t>
      </w:r>
      <w:r w:rsidR="008C543D" w:rsidRPr="006A7FEE">
        <w:rPr>
          <w:rFonts w:ascii="Arial" w:eastAsia="Times New Roman" w:hAnsi="Arial" w:cs="Arial"/>
          <w:szCs w:val="20"/>
          <w:lang w:val="de-DE" w:eastAsia="de-DE"/>
        </w:rPr>
        <w:t>1.1</w:t>
      </w:r>
      <w:r w:rsidR="005F6372" w:rsidRPr="006A7FEE">
        <w:rPr>
          <w:rFonts w:ascii="Arial" w:eastAsia="Times New Roman" w:hAnsi="Arial" w:cs="Arial"/>
          <w:szCs w:val="20"/>
          <w:lang w:val="de-DE" w:eastAsia="de-DE"/>
        </w:rPr>
        <w:t xml:space="preserve"> Seite </w:t>
      </w:r>
      <w:r w:rsidR="00387A92" w:rsidRPr="006A7FEE">
        <w:rPr>
          <w:rFonts w:ascii="Arial" w:eastAsia="Times New Roman" w:hAnsi="Arial" w:cs="Arial"/>
          <w:szCs w:val="20"/>
          <w:lang w:val="de-DE" w:eastAsia="de-DE"/>
        </w:rPr>
        <w:t>4</w:t>
      </w:r>
      <w:r w:rsidR="008C543D" w:rsidRPr="006A7FEE">
        <w:rPr>
          <w:rFonts w:ascii="Arial" w:eastAsia="Times New Roman" w:hAnsi="Arial" w:cs="Arial"/>
          <w:szCs w:val="20"/>
          <w:lang w:val="de-DE" w:eastAsia="de-DE"/>
        </w:rPr>
        <w:t>).</w:t>
      </w:r>
    </w:p>
    <w:p w14:paraId="2AAA9119" w14:textId="77777777" w:rsidR="00FB389F" w:rsidRPr="006A7FEE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6C8D41DF" w14:textId="3446E9CC" w:rsidR="00FB389F" w:rsidRPr="006A7FEE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6A7FEE">
        <w:rPr>
          <w:rFonts w:ascii="Arial" w:eastAsia="Times New Roman" w:hAnsi="Arial" w:cs="Arial"/>
          <w:szCs w:val="20"/>
          <w:lang w:val="de-DE" w:eastAsia="de-DE"/>
        </w:rPr>
        <w:t>Die Rechtskonformität für zwingend anzuwendende, sicherheitstechnische Unterweisungsvorlagen und Mit</w:t>
      </w:r>
      <w:r w:rsidR="00C2623B" w:rsidRPr="006A7FEE">
        <w:rPr>
          <w:rFonts w:ascii="Arial" w:eastAsia="Times New Roman" w:hAnsi="Arial" w:cs="Arial"/>
          <w:szCs w:val="20"/>
          <w:lang w:val="de-DE" w:eastAsia="de-DE"/>
        </w:rPr>
        <w:softHyphen/>
      </w:r>
      <w:r w:rsidRPr="006A7FEE">
        <w:rPr>
          <w:rFonts w:ascii="Arial" w:eastAsia="Times New Roman" w:hAnsi="Arial" w:cs="Arial"/>
          <w:szCs w:val="20"/>
          <w:lang w:val="de-DE" w:eastAsia="de-DE"/>
        </w:rPr>
        <w:t>arbeiterinformationen</w:t>
      </w:r>
      <w:r w:rsidR="00C2623B" w:rsidRPr="006A7FEE">
        <w:rPr>
          <w:rFonts w:ascii="Arial" w:eastAsia="Times New Roman" w:hAnsi="Arial" w:cs="Arial"/>
          <w:szCs w:val="20"/>
          <w:lang w:val="de-DE" w:eastAsia="de-DE"/>
        </w:rPr>
        <w:t>,</w:t>
      </w: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 wird über die Fachkunde der S</w:t>
      </w:r>
      <w:r w:rsidR="00DD3D1A" w:rsidRPr="006A7FEE">
        <w:rPr>
          <w:rFonts w:ascii="Arial" w:eastAsia="Times New Roman" w:hAnsi="Arial" w:cs="Arial"/>
          <w:szCs w:val="20"/>
          <w:lang w:val="de-DE" w:eastAsia="de-DE"/>
        </w:rPr>
        <w:t>ifa</w:t>
      </w: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 gewährleistet. Die nachvollziehbare Aktualisierung, Erweiterung und Überwachung dieser Unterlagen, wird ebenfalls von der Abteilung Arbeitssicherheit (AS) übernommen (Details zur Rechtskonformität siehe </w:t>
      </w:r>
      <w:r w:rsidR="009968B9" w:rsidRPr="006A7FEE">
        <w:rPr>
          <w:rFonts w:ascii="Arial" w:eastAsia="Times New Roman" w:hAnsi="Arial" w:cs="Arial"/>
          <w:szCs w:val="20"/>
          <w:lang w:val="de-DE" w:eastAsia="de-DE"/>
        </w:rPr>
        <w:t xml:space="preserve">HB I </w:t>
      </w:r>
      <w:smartTag w:uri="schemas.1und1.de/SoftPhone" w:element="Rufnummer">
        <w:r w:rsidRPr="006A7FEE">
          <w:rPr>
            <w:rFonts w:ascii="Arial" w:eastAsia="Times New Roman" w:hAnsi="Arial" w:cs="Arial"/>
            <w:szCs w:val="20"/>
            <w:lang w:val="de-DE" w:eastAsia="de-DE"/>
          </w:rPr>
          <w:t>5.1</w:t>
        </w:r>
      </w:smartTag>
      <w:r w:rsidRPr="006A7FEE">
        <w:rPr>
          <w:rFonts w:ascii="Arial" w:eastAsia="Times New Roman" w:hAnsi="Arial" w:cs="Arial"/>
          <w:szCs w:val="20"/>
          <w:lang w:val="de-DE" w:eastAsia="de-DE"/>
        </w:rPr>
        <w:t>).</w:t>
      </w:r>
    </w:p>
    <w:p w14:paraId="02250765" w14:textId="77777777" w:rsidR="00FB389F" w:rsidRPr="006A7FEE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52FB0E43" w14:textId="3F45B26C" w:rsidR="00FB389F" w:rsidRPr="006A7FEE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Für alle Arbeiten sind entsprechend schriftliche Anweisungen </w:t>
      </w:r>
      <w:r w:rsidR="009968B9" w:rsidRPr="006A7FEE">
        <w:rPr>
          <w:rFonts w:ascii="Arial" w:eastAsia="Times New Roman" w:hAnsi="Arial" w:cs="Arial"/>
          <w:szCs w:val="20"/>
          <w:lang w:val="de-DE" w:eastAsia="de-DE"/>
        </w:rPr>
        <w:t xml:space="preserve">(siehe HB </w:t>
      </w:r>
      <w:r w:rsidRPr="006A7FEE">
        <w:rPr>
          <w:rFonts w:ascii="Arial" w:eastAsia="Times New Roman" w:hAnsi="Arial" w:cs="Arial"/>
          <w:szCs w:val="20"/>
          <w:lang w:val="de-DE" w:eastAsia="de-DE"/>
        </w:rPr>
        <w:t>II AA, VA) vorhanden, deren Einhal</w:t>
      </w:r>
      <w:r w:rsidR="004B7301" w:rsidRPr="006A7FEE">
        <w:rPr>
          <w:rFonts w:ascii="Arial" w:eastAsia="Times New Roman" w:hAnsi="Arial" w:cs="Arial"/>
          <w:szCs w:val="20"/>
          <w:lang w:val="de-DE" w:eastAsia="de-DE"/>
        </w:rPr>
        <w:softHyphen/>
      </w:r>
      <w:r w:rsidRPr="006A7FEE">
        <w:rPr>
          <w:rFonts w:ascii="Arial" w:eastAsia="Times New Roman" w:hAnsi="Arial" w:cs="Arial"/>
          <w:szCs w:val="20"/>
          <w:lang w:val="de-DE" w:eastAsia="de-DE"/>
        </w:rPr>
        <w:t>tung regelmäßig im Rahmen der internen Audits überprüft wird (siehe HB I 6.2, 7.1, 7.2).</w:t>
      </w:r>
    </w:p>
    <w:p w14:paraId="045F0173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4BC75BD6" w14:textId="37AED8C2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>Zur fehlerfreien Durchführung der Arbeitnehmerüberlassung, Werkvertrag</w:t>
      </w:r>
      <w:r w:rsidR="00DD3D1A">
        <w:rPr>
          <w:rFonts w:ascii="Arial" w:eastAsia="Times New Roman" w:hAnsi="Arial" w:cs="Arial"/>
          <w:szCs w:val="20"/>
          <w:lang w:val="de-DE" w:eastAsia="de-DE"/>
        </w:rPr>
        <w:t>sa</w:t>
      </w:r>
      <w:r w:rsidRPr="00B65CCA">
        <w:rPr>
          <w:rFonts w:ascii="Arial" w:eastAsia="Times New Roman" w:hAnsi="Arial" w:cs="Arial"/>
          <w:szCs w:val="20"/>
          <w:lang w:val="de-DE" w:eastAsia="de-DE"/>
        </w:rPr>
        <w:t>bwicklung und ordnungsgemäßer Ein- und Unterweisungen bezüglich der arbeitssicherheitstechnischen Auflagen, wird die Verfügbarkeit entspre</w:t>
      </w:r>
      <w:r w:rsidR="004B7301" w:rsidRPr="00B65CCA">
        <w:rPr>
          <w:rFonts w:ascii="Arial" w:eastAsia="Times New Roman" w:hAnsi="Arial" w:cs="Arial"/>
          <w:szCs w:val="20"/>
          <w:lang w:val="de-DE" w:eastAsia="de-DE"/>
        </w:rPr>
        <w:softHyphen/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chend aktueller und gültiger Unterlagen gewährleistet. Verwaltungstechnische Dokumentenoptimierungen und externe Unterweisungserweiterungen oder Änderungen an bestehenden Arbeitssicherheitsdokumenten, </w:t>
      </w:r>
      <w:r w:rsidR="004B7301" w:rsidRPr="00B65CCA">
        <w:rPr>
          <w:rFonts w:ascii="Arial" w:eastAsia="Times New Roman" w:hAnsi="Arial" w:cs="Arial"/>
          <w:szCs w:val="20"/>
          <w:lang w:val="de-DE" w:eastAsia="de-DE"/>
        </w:rPr>
        <w:t xml:space="preserve">werden </w:t>
      </w:r>
      <w:r w:rsidR="00512C6F" w:rsidRPr="00B65CCA">
        <w:rPr>
          <w:rFonts w:ascii="Arial" w:eastAsia="Times New Roman" w:hAnsi="Arial" w:cs="Arial"/>
          <w:b/>
          <w:szCs w:val="20"/>
          <w:lang w:val="de-DE" w:eastAsia="de-DE"/>
        </w:rPr>
        <w:t>vierteljährlich</w:t>
      </w:r>
      <w:r w:rsidR="00512C6F" w:rsidRPr="00B65CCA">
        <w:rPr>
          <w:rFonts w:ascii="Arial" w:eastAsia="Times New Roman" w:hAnsi="Arial" w:cs="Arial"/>
          <w:szCs w:val="20"/>
          <w:lang w:val="de-DE" w:eastAsia="de-DE"/>
        </w:rPr>
        <w:t xml:space="preserve"> 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in den internen Audit-Protokollen festgehalten. Der Ablageort für die ausgesonderten AMS Dokumente ist der Ordner AMS- Dokumentenbelege. </w:t>
      </w:r>
    </w:p>
    <w:p w14:paraId="5A408F3D" w14:textId="3C768308" w:rsidR="00973BB9" w:rsidRPr="00B65CCA" w:rsidRDefault="00973BB9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3B50722B" w14:textId="77777777" w:rsidR="00FB389F" w:rsidRPr="00B65CCA" w:rsidRDefault="00FB389F" w:rsidP="00FB389F">
      <w:pPr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B65CCA">
        <w:rPr>
          <w:rFonts w:ascii="Arial" w:eastAsia="Times New Roman" w:hAnsi="Arial" w:cs="Arial"/>
          <w:b/>
          <w:sz w:val="28"/>
          <w:szCs w:val="28"/>
          <w:lang w:val="de-DE" w:eastAsia="de-DE"/>
        </w:rPr>
        <w:t>Kennzeichnung</w:t>
      </w:r>
    </w:p>
    <w:p w14:paraId="1838AB0C" w14:textId="77777777" w:rsidR="00FB389F" w:rsidRPr="00B65CCA" w:rsidRDefault="00FB389F" w:rsidP="00FB389F">
      <w:pPr>
        <w:jc w:val="both"/>
        <w:rPr>
          <w:rFonts w:ascii="Arial" w:eastAsia="Times New Roman" w:hAnsi="Arial" w:cs="Arial"/>
          <w:b/>
          <w:sz w:val="12"/>
          <w:szCs w:val="12"/>
          <w:lang w:val="de-DE" w:eastAsia="de-DE"/>
        </w:rPr>
      </w:pPr>
    </w:p>
    <w:p w14:paraId="5106B384" w14:textId="6C11EF23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>Die Kennzeichnung der prozessbegleitenden Dokumente und Daten erfol</w:t>
      </w:r>
      <w:r w:rsidR="00E37E2A" w:rsidRPr="00B65CCA">
        <w:rPr>
          <w:rFonts w:ascii="Arial" w:eastAsia="Times New Roman" w:hAnsi="Arial" w:cs="Arial"/>
          <w:szCs w:val="20"/>
          <w:lang w:val="de-DE" w:eastAsia="de-DE"/>
        </w:rPr>
        <w:t>gt alphabetisch und fortlaufend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anhand der</w:t>
      </w:r>
      <w:r w:rsidR="00E37E2A" w:rsidRPr="00B65CCA">
        <w:rPr>
          <w:rFonts w:ascii="Arial" w:eastAsia="Times New Roman" w:hAnsi="Arial" w:cs="Arial"/>
          <w:szCs w:val="20"/>
          <w:lang w:val="de-DE" w:eastAsia="de-DE"/>
        </w:rPr>
        <w:t xml:space="preserve"> Kunden- bzw. Mitarbeiterlisten</w:t>
      </w:r>
      <w:r w:rsidR="0025137B" w:rsidRPr="00B65CCA">
        <w:rPr>
          <w:rFonts w:ascii="Arial" w:eastAsia="Times New Roman" w:hAnsi="Arial" w:cs="Arial"/>
          <w:szCs w:val="20"/>
          <w:lang w:val="de-DE" w:eastAsia="de-DE"/>
        </w:rPr>
        <w:t>,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durch Eintrag eines Identifikationsmerkmales (z.</w:t>
      </w:r>
      <w:r w:rsidR="00266BA5">
        <w:rPr>
          <w:rFonts w:ascii="Arial" w:eastAsia="Times New Roman" w:hAnsi="Arial" w:cs="Arial"/>
          <w:szCs w:val="20"/>
          <w:lang w:val="de-DE" w:eastAsia="de-DE"/>
        </w:rPr>
        <w:t> </w:t>
      </w:r>
      <w:r w:rsidRPr="00B65CCA">
        <w:rPr>
          <w:rFonts w:ascii="Arial" w:eastAsia="Times New Roman" w:hAnsi="Arial" w:cs="Arial"/>
          <w:szCs w:val="20"/>
          <w:lang w:val="de-DE" w:eastAsia="de-DE"/>
        </w:rPr>
        <w:t>B. Kundennummern, Mitarbeiternummern, Rechnungsnummern, durchgängige Dokumentenkennzeichnungen). Die zu verwendenden Dokumentenvor</w:t>
      </w:r>
      <w:r w:rsidR="00664773" w:rsidRPr="00B65CCA">
        <w:rPr>
          <w:rFonts w:ascii="Arial" w:eastAsia="Times New Roman" w:hAnsi="Arial" w:cs="Arial"/>
          <w:szCs w:val="20"/>
          <w:lang w:val="de-DE" w:eastAsia="de-DE"/>
        </w:rPr>
        <w:t>lagen befinden sich im Ordner „</w:t>
      </w:r>
      <w:r w:rsidRPr="00B65CCA">
        <w:rPr>
          <w:rFonts w:ascii="Arial" w:eastAsia="Times New Roman" w:hAnsi="Arial" w:cs="Arial"/>
          <w:szCs w:val="20"/>
          <w:lang w:val="de-DE" w:eastAsia="de-DE"/>
        </w:rPr>
        <w:t>Originale Formulare</w:t>
      </w:r>
      <w:r w:rsidR="00664773" w:rsidRPr="00B65CCA">
        <w:rPr>
          <w:rFonts w:ascii="Arial" w:eastAsia="Times New Roman" w:hAnsi="Arial" w:cs="Arial"/>
          <w:szCs w:val="20"/>
          <w:lang w:val="de-DE" w:eastAsia="de-DE"/>
        </w:rPr>
        <w:t>“</w:t>
      </w:r>
      <w:r w:rsidR="0025137B" w:rsidRPr="00B65CCA">
        <w:rPr>
          <w:rFonts w:ascii="Arial" w:eastAsia="Times New Roman" w:hAnsi="Arial" w:cs="Arial"/>
          <w:szCs w:val="20"/>
          <w:lang w:val="de-DE" w:eastAsia="de-DE"/>
        </w:rPr>
        <w:t>.</w:t>
      </w:r>
      <w:r w:rsidR="00664773" w:rsidRPr="00B65CCA">
        <w:rPr>
          <w:rFonts w:ascii="Arial" w:eastAsia="Times New Roman" w:hAnsi="Arial" w:cs="Arial"/>
          <w:szCs w:val="20"/>
          <w:lang w:val="de-DE" w:eastAsia="de-DE"/>
        </w:rPr>
        <w:t xml:space="preserve"> </w:t>
      </w:r>
      <w:r w:rsidR="0025137B" w:rsidRPr="00B65CCA">
        <w:rPr>
          <w:rFonts w:ascii="Arial" w:eastAsia="Times New Roman" w:hAnsi="Arial" w:cs="Arial"/>
          <w:szCs w:val="20"/>
          <w:lang w:val="de-DE" w:eastAsia="de-DE"/>
        </w:rPr>
        <w:t>D</w:t>
      </w:r>
      <w:r w:rsidRPr="00B65CCA">
        <w:rPr>
          <w:rFonts w:ascii="Arial" w:eastAsia="Times New Roman" w:hAnsi="Arial" w:cs="Arial"/>
          <w:szCs w:val="20"/>
          <w:lang w:val="de-DE" w:eastAsia="de-DE"/>
        </w:rPr>
        <w:t>ie Dokumentenunterteilung erfolgt nach den Rubriken:</w:t>
      </w:r>
    </w:p>
    <w:p w14:paraId="6ADF6AB8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180DFDBF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AK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Nr.: xx</w:t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A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uftragsannahme +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K</w:t>
      </w:r>
      <w:r w:rsidRPr="00B65CCA">
        <w:rPr>
          <w:rFonts w:ascii="Arial" w:eastAsia="Times New Roman" w:hAnsi="Arial" w:cs="Arial"/>
          <w:szCs w:val="20"/>
          <w:lang w:val="de-DE" w:eastAsia="de-DE"/>
        </w:rPr>
        <w:t>undenabwicklung</w:t>
      </w:r>
    </w:p>
    <w:p w14:paraId="6BCC4740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EM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Nr.: xx </w:t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E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instellung +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M</w:t>
      </w:r>
      <w:r w:rsidRPr="00B65CCA">
        <w:rPr>
          <w:rFonts w:ascii="Arial" w:eastAsia="Times New Roman" w:hAnsi="Arial" w:cs="Arial"/>
          <w:szCs w:val="20"/>
          <w:lang w:val="de-DE" w:eastAsia="de-DE"/>
        </w:rPr>
        <w:t>itarbeiterdokumente</w:t>
      </w:r>
    </w:p>
    <w:p w14:paraId="16D64B4D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AE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Nr.: xx</w:t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A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rbeitssicherheit +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E</w:t>
      </w:r>
      <w:r w:rsidRPr="00B65CCA">
        <w:rPr>
          <w:rFonts w:ascii="Arial" w:eastAsia="Times New Roman" w:hAnsi="Arial" w:cs="Arial"/>
          <w:szCs w:val="20"/>
          <w:lang w:val="de-DE" w:eastAsia="de-DE"/>
        </w:rPr>
        <w:t>in- und Unterweisungen</w:t>
      </w:r>
    </w:p>
    <w:p w14:paraId="361395C6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BÜ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Nr.: xx</w:t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B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ewertung +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Ü</w:t>
      </w:r>
      <w:r w:rsidRPr="00B65CCA">
        <w:rPr>
          <w:rFonts w:ascii="Arial" w:eastAsia="Times New Roman" w:hAnsi="Arial" w:cs="Arial"/>
          <w:szCs w:val="20"/>
          <w:lang w:val="de-DE" w:eastAsia="de-DE"/>
        </w:rPr>
        <w:t>berwachung</w:t>
      </w:r>
    </w:p>
    <w:p w14:paraId="2865ADBD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QZ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Nr.: xx  </w:t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szCs w:val="20"/>
          <w:lang w:val="de-DE" w:eastAsia="de-DE"/>
        </w:rPr>
        <w:tab/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Q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ualität +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Z</w:t>
      </w:r>
      <w:r w:rsidRPr="00B65CCA">
        <w:rPr>
          <w:rFonts w:ascii="Arial" w:eastAsia="Times New Roman" w:hAnsi="Arial" w:cs="Arial"/>
          <w:szCs w:val="20"/>
          <w:lang w:val="de-DE" w:eastAsia="de-DE"/>
        </w:rPr>
        <w:t>iele</w:t>
      </w:r>
    </w:p>
    <w:p w14:paraId="5FC6F936" w14:textId="77777777" w:rsidR="00FB389F" w:rsidRPr="00B65CCA" w:rsidRDefault="00FB389F" w:rsidP="00FB389F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6F536661" w14:textId="070FF8AC" w:rsidR="00FB389F" w:rsidRPr="00B65CCA" w:rsidRDefault="00FB389F" w:rsidP="00FB389F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(Details siehe HB II - AA 03, AA 04, AA</w:t>
      </w:r>
      <w:r w:rsidR="00266BA5">
        <w:rPr>
          <w:rFonts w:ascii="Arial" w:eastAsia="Times New Roman" w:hAnsi="Arial" w:cs="Arial"/>
          <w:b/>
          <w:szCs w:val="20"/>
          <w:lang w:val="de-DE" w:eastAsia="de-DE"/>
        </w:rPr>
        <w:t xml:space="preserve"> 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 xml:space="preserve">06, AA 08, Ordner </w:t>
      </w:r>
      <w:r w:rsidR="00C77B12" w:rsidRPr="00B65CCA">
        <w:rPr>
          <w:rFonts w:ascii="Arial" w:eastAsia="Times New Roman" w:hAnsi="Arial" w:cs="Arial"/>
          <w:b/>
          <w:szCs w:val="20"/>
          <w:lang w:val="de-DE" w:eastAsia="de-DE"/>
        </w:rPr>
        <w:t>„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Originale Formulare</w:t>
      </w:r>
      <w:r w:rsidR="00C77B12" w:rsidRPr="00B65CCA">
        <w:rPr>
          <w:rFonts w:ascii="Arial" w:eastAsia="Times New Roman" w:hAnsi="Arial" w:cs="Arial"/>
          <w:b/>
          <w:szCs w:val="20"/>
          <w:lang w:val="de-DE" w:eastAsia="de-DE"/>
        </w:rPr>
        <w:t>“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>)</w:t>
      </w:r>
    </w:p>
    <w:p w14:paraId="2E0735BE" w14:textId="236A92E1" w:rsidR="00012EBF" w:rsidRPr="00B65CCA" w:rsidRDefault="00012EBF" w:rsidP="00FB389F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49FA8CA1" w14:textId="77777777" w:rsidR="009968B9" w:rsidRPr="00B65CCA" w:rsidRDefault="009968B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C055A2E" w14:textId="77777777" w:rsidR="00387A92" w:rsidRPr="00B65CCA" w:rsidRDefault="00387A92" w:rsidP="00387A92">
      <w:pPr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B65CCA">
        <w:rPr>
          <w:rFonts w:ascii="Arial" w:eastAsia="Times New Roman" w:hAnsi="Arial" w:cs="Arial"/>
          <w:b/>
          <w:sz w:val="28"/>
          <w:szCs w:val="28"/>
          <w:lang w:val="de-DE" w:eastAsia="de-DE"/>
        </w:rPr>
        <w:t>Gliederung</w:t>
      </w:r>
    </w:p>
    <w:p w14:paraId="24619544" w14:textId="77777777" w:rsidR="00387A92" w:rsidRPr="00B65CCA" w:rsidRDefault="00387A92" w:rsidP="00387A92">
      <w:pPr>
        <w:jc w:val="both"/>
        <w:rPr>
          <w:rFonts w:ascii="Arial" w:eastAsia="Times New Roman" w:hAnsi="Arial" w:cs="Arial"/>
          <w:b/>
          <w:sz w:val="12"/>
          <w:szCs w:val="12"/>
          <w:lang w:val="de-DE" w:eastAsia="de-DE"/>
        </w:rPr>
      </w:pPr>
    </w:p>
    <w:p w14:paraId="4EA82399" w14:textId="34097C79" w:rsidR="00387A92" w:rsidRPr="00B65CCA" w:rsidRDefault="00387A92" w:rsidP="00387A92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>Dokumente und Daten gliedern sich wie dargestellt auf:</w:t>
      </w:r>
    </w:p>
    <w:p w14:paraId="6AF8FB22" w14:textId="77777777" w:rsidR="00387A92" w:rsidRPr="00B65CCA" w:rsidRDefault="00387A92" w:rsidP="00387A92">
      <w:pPr>
        <w:jc w:val="both"/>
        <w:rPr>
          <w:rFonts w:ascii="Arial" w:eastAsia="Times New Roman" w:hAnsi="Arial" w:cs="Arial"/>
          <w:sz w:val="10"/>
          <w:szCs w:val="10"/>
          <w:lang w:val="de-DE" w:eastAsia="de-DE"/>
        </w:rPr>
      </w:pPr>
    </w:p>
    <w:p w14:paraId="30838370" w14:textId="332C015D" w:rsidR="00387A92" w:rsidRPr="00B65CCA" w:rsidRDefault="0025137B" w:rsidP="00387A92">
      <w:pPr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ü</w:t>
      </w:r>
      <w:r w:rsidR="00387A92" w:rsidRPr="00B65CCA">
        <w:rPr>
          <w:rFonts w:ascii="Arial" w:eastAsia="Times New Roman" w:hAnsi="Arial" w:cs="Arial"/>
          <w:b/>
          <w:szCs w:val="20"/>
          <w:lang w:val="de-DE" w:eastAsia="de-DE"/>
        </w:rPr>
        <w:t xml:space="preserve">bergeordnet </w:t>
      </w:r>
    </w:p>
    <w:p w14:paraId="40561F60" w14:textId="77777777" w:rsidR="00387A92" w:rsidRPr="00B65CCA" w:rsidRDefault="00387A92" w:rsidP="00387A92">
      <w:pPr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 xml:space="preserve">AS - bezogen </w:t>
      </w:r>
    </w:p>
    <w:p w14:paraId="42FE8EDA" w14:textId="77777777" w:rsidR="00387A92" w:rsidRPr="00B65CCA" w:rsidRDefault="00387A92" w:rsidP="00387A92">
      <w:pPr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AMS - bezogen</w:t>
      </w:r>
    </w:p>
    <w:tbl>
      <w:tblPr>
        <w:tblpPr w:leftFromText="141" w:rightFromText="141" w:vertAnchor="text" w:horzAnchor="margin" w:tblpY="90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60"/>
        <w:gridCol w:w="2482"/>
        <w:gridCol w:w="2585"/>
      </w:tblGrid>
      <w:tr w:rsidR="00B65CCA" w:rsidRPr="00B65CCA" w14:paraId="1351BE0E" w14:textId="77777777" w:rsidTr="00B65CCA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41A4" w14:textId="1D8D04AE" w:rsidR="00B65CCA" w:rsidRPr="00B65CCA" w:rsidRDefault="00B65CCA" w:rsidP="00B65CCA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B65CCA">
              <w:rPr>
                <w:rFonts w:ascii="Arial" w:hAnsi="Arial" w:cs="Arial"/>
                <w:b/>
                <w:bCs/>
              </w:rPr>
              <w:t>HB I 1.4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116C0">
              <w:rPr>
                <w:rFonts w:ascii="Arial" w:hAnsi="Arial" w:cs="Arial"/>
                <w:b/>
              </w:rPr>
              <w:t>Seite 11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46B" w14:textId="77777777" w:rsidR="00B65CCA" w:rsidRPr="00B65CCA" w:rsidRDefault="00B65CCA" w:rsidP="00B65CCA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B65CCA">
              <w:rPr>
                <w:rFonts w:ascii="Arial" w:hAnsi="Arial" w:cs="Arial"/>
                <w:b/>
              </w:rPr>
              <w:t>Erstellung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8EFAA" w14:textId="5A97DB4C" w:rsidR="00B65CCA" w:rsidRPr="00B65CCA" w:rsidRDefault="00B65CCA" w:rsidP="00B65CCA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B65CCA">
              <w:rPr>
                <w:rFonts w:ascii="Arial" w:hAnsi="Arial" w:cs="Arial"/>
                <w:b/>
              </w:rPr>
              <w:t xml:space="preserve">Prüfung - Version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41F3" w14:textId="77777777" w:rsidR="00B65CCA" w:rsidRPr="00B65CCA" w:rsidRDefault="00B65CCA" w:rsidP="00B65CCA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B65CCA">
              <w:rPr>
                <w:rFonts w:ascii="Arial" w:hAnsi="Arial" w:cs="Arial"/>
                <w:b/>
              </w:rPr>
              <w:t>Genehmigung</w:t>
            </w:r>
          </w:p>
        </w:tc>
      </w:tr>
      <w:tr w:rsidR="00B65CCA" w:rsidRPr="00B65CCA" w14:paraId="26ED1591" w14:textId="77777777" w:rsidTr="00B65CC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4CA18" w14:textId="77777777" w:rsidR="00B65CCA" w:rsidRPr="00B65CCA" w:rsidRDefault="00B65CCA" w:rsidP="00B65CCA">
            <w:pPr>
              <w:pStyle w:val="Kopfzeile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DE99" w14:textId="754A2123" w:rsidR="00B65CCA" w:rsidRPr="00B65CCA" w:rsidRDefault="007469EA" w:rsidP="00B65CCA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724B" w14:textId="037833D1" w:rsidR="00B65CCA" w:rsidRPr="00B65CCA" w:rsidRDefault="007469EA" w:rsidP="00B65CCA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7180" w14:textId="71C3B685" w:rsidR="00B65CCA" w:rsidRPr="00B65CCA" w:rsidRDefault="007469EA" w:rsidP="00B65CCA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</w:tr>
      <w:tr w:rsidR="00B65CCA" w:rsidRPr="00B65CCA" w14:paraId="73D96344" w14:textId="77777777" w:rsidTr="00B65CCA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11BE3" w14:textId="77777777" w:rsidR="00B65CCA" w:rsidRPr="00B65CCA" w:rsidRDefault="00B65CCA" w:rsidP="00B65CCA">
            <w:pPr>
              <w:pStyle w:val="Kopfzeile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C6DA" w14:textId="07C06BE3" w:rsidR="00B65CCA" w:rsidRPr="00B65CCA" w:rsidRDefault="007C716B" w:rsidP="00B65CCA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Sif</w:t>
            </w:r>
            <w:r w:rsidR="00B65CCA" w:rsidRPr="00B65CCA">
              <w:rPr>
                <w:rFonts w:ascii="Arial" w:hAnsi="Arial" w:cs="Arial"/>
              </w:rPr>
              <w:t>a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8EE9" w14:textId="7BF78867" w:rsidR="00B65CCA" w:rsidRPr="00B65CCA" w:rsidRDefault="00B65CCA" w:rsidP="00B65CCA">
            <w:pPr>
              <w:pStyle w:val="Kopfzeile"/>
              <w:jc w:val="center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41D5" w14:textId="102CE21E" w:rsidR="00B65CCA" w:rsidRPr="00B65CCA" w:rsidRDefault="00B65CCA" w:rsidP="00B65CCA">
            <w:pPr>
              <w:pStyle w:val="Kopfzeile"/>
              <w:jc w:val="center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GF</w:t>
            </w:r>
          </w:p>
        </w:tc>
      </w:tr>
      <w:tr w:rsidR="00885EFA" w:rsidRPr="00B65CCA" w14:paraId="3F939DB8" w14:textId="77777777" w:rsidTr="009C7B39">
        <w:trPr>
          <w:trHeight w:val="42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4F87" w14:textId="77777777" w:rsidR="00885EFA" w:rsidRPr="009C7B39" w:rsidRDefault="00885EFA" w:rsidP="009C7B39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5F24" w14:textId="04E86B73" w:rsidR="00885EFA" w:rsidRDefault="0067414A" w:rsidP="00885EFA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968" behindDoc="0" locked="0" layoutInCell="1" allowOverlap="1" wp14:anchorId="636EBF6A" wp14:editId="3782A44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87464</wp:posOffset>
                  </wp:positionV>
                  <wp:extent cx="1478942" cy="635603"/>
                  <wp:effectExtent l="0" t="0" r="6985" b="0"/>
                  <wp:wrapNone/>
                  <wp:docPr id="4" name="Grafik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42" cy="635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DC165" w14:textId="77777777" w:rsidR="00885EFA" w:rsidRDefault="00885EFA" w:rsidP="00885EFA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DD2AA87" w14:textId="77777777" w:rsidR="009C7B39" w:rsidRDefault="009C7B39" w:rsidP="00885EFA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FAB156E" w14:textId="77777777" w:rsidR="00885EFA" w:rsidRPr="00B65CCA" w:rsidRDefault="00885EFA" w:rsidP="00885EFA">
            <w:pPr>
              <w:pStyle w:val="Kopfzeile"/>
              <w:rPr>
                <w:rFonts w:ascii="Arial" w:hAnsi="Arial" w:cs="Arial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6BC6" w14:textId="67CFAD2D" w:rsidR="00885EFA" w:rsidRDefault="0067414A" w:rsidP="00885EFA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0016" behindDoc="0" locked="0" layoutInCell="1" allowOverlap="1" wp14:anchorId="02CB25EC" wp14:editId="306E2672">
                  <wp:simplePos x="0" y="0"/>
                  <wp:positionH relativeFrom="column">
                    <wp:posOffset>-15268</wp:posOffset>
                  </wp:positionH>
                  <wp:positionV relativeFrom="paragraph">
                    <wp:posOffset>135173</wp:posOffset>
                  </wp:positionV>
                  <wp:extent cx="1470340" cy="469127"/>
                  <wp:effectExtent l="0" t="0" r="0" b="7620"/>
                  <wp:wrapNone/>
                  <wp:docPr id="5" name="Grafik 5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40" cy="469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EFA">
              <w:rPr>
                <w:rFonts w:ascii="Arial" w:hAnsi="Arial" w:cs="Arial"/>
              </w:rPr>
              <w:t xml:space="preserve"> </w:t>
            </w:r>
          </w:p>
          <w:p w14:paraId="2F0F48F9" w14:textId="77777777" w:rsidR="00885EFA" w:rsidRDefault="00885EFA" w:rsidP="00885EFA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</w:rPr>
            </w:pPr>
          </w:p>
          <w:p w14:paraId="0161F215" w14:textId="77777777" w:rsidR="00885EFA" w:rsidRPr="00B65CCA" w:rsidRDefault="00885EFA" w:rsidP="00885E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1A72" w14:textId="4D9F709A" w:rsidR="00885EFA" w:rsidRPr="009C7B39" w:rsidRDefault="0067414A" w:rsidP="009C7B39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 w:themeColor="accent6"/>
                <w:szCs w:val="18"/>
                <w:lang w:val="de-DE" w:eastAsia="de-DE"/>
              </w:rPr>
              <w:drawing>
                <wp:anchor distT="0" distB="0" distL="114300" distR="114300" simplePos="0" relativeHeight="251645440" behindDoc="0" locked="0" layoutInCell="1" allowOverlap="1" wp14:anchorId="78AFB2D6" wp14:editId="460F6B48">
                  <wp:simplePos x="0" y="0"/>
                  <wp:positionH relativeFrom="column">
                    <wp:posOffset>58641</wp:posOffset>
                  </wp:positionH>
                  <wp:positionV relativeFrom="paragraph">
                    <wp:posOffset>56294</wp:posOffset>
                  </wp:positionV>
                  <wp:extent cx="1176793" cy="676424"/>
                  <wp:effectExtent l="0" t="0" r="4445" b="9525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93" cy="676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9981CA" w14:textId="09622B1F" w:rsidR="00387A92" w:rsidRPr="00B65CCA" w:rsidRDefault="0025137B" w:rsidP="00B65CCA">
      <w:pPr>
        <w:numPr>
          <w:ilvl w:val="0"/>
          <w:numId w:val="5"/>
        </w:numPr>
        <w:ind w:left="0" w:firstLine="0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  <w:r w:rsidRPr="00B65CCA">
        <w:rPr>
          <w:rFonts w:ascii="Arial" w:eastAsia="Times New Roman" w:hAnsi="Arial" w:cs="Arial"/>
          <w:b/>
          <w:szCs w:val="20"/>
          <w:lang w:val="de-DE" w:eastAsia="de-DE"/>
        </w:rPr>
        <w:t>f</w:t>
      </w:r>
      <w:r w:rsidR="00387A92" w:rsidRPr="00B65CCA">
        <w:rPr>
          <w:rFonts w:ascii="Arial" w:eastAsia="Times New Roman" w:hAnsi="Arial" w:cs="Arial"/>
          <w:b/>
          <w:szCs w:val="20"/>
          <w:lang w:val="de-DE" w:eastAsia="de-DE"/>
        </w:rPr>
        <w:t>irmenspezifisch</w:t>
      </w:r>
    </w:p>
    <w:p w14:paraId="0E340FED" w14:textId="77777777" w:rsidR="005F6372" w:rsidRPr="00B65CCA" w:rsidRDefault="005F6372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1E92589C" w14:textId="77777777" w:rsidR="007C716B" w:rsidRDefault="007C716B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0C20DE86" w14:textId="77777777" w:rsidR="009C7B39" w:rsidRDefault="009C7B39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755A21E1" w14:textId="77777777" w:rsidR="009C7B39" w:rsidRDefault="009C7B39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6C43F061" w14:textId="55456CA3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lastRenderedPageBreak/>
        <w:t>Alle Dokumente und Daten sind eindeutig identifizierbar und somit den betroffenen Abläufen leicht zuzuord</w:t>
      </w:r>
      <w:r w:rsidR="004B7301" w:rsidRPr="00B65CCA">
        <w:rPr>
          <w:rFonts w:ascii="Arial" w:eastAsia="Times New Roman" w:hAnsi="Arial" w:cs="Arial"/>
          <w:szCs w:val="20"/>
          <w:lang w:val="de-DE" w:eastAsia="de-DE"/>
        </w:rPr>
        <w:softHyphen/>
      </w:r>
      <w:r w:rsidRPr="00B65CCA">
        <w:rPr>
          <w:rFonts w:ascii="Arial" w:eastAsia="Times New Roman" w:hAnsi="Arial" w:cs="Arial"/>
          <w:szCs w:val="20"/>
          <w:lang w:val="de-DE" w:eastAsia="de-DE"/>
        </w:rPr>
        <w:t>nen. Die lückenlose Dokumentenverfolgung gewährleistet, z.</w:t>
      </w:r>
      <w:r w:rsidR="00266BA5">
        <w:rPr>
          <w:rFonts w:ascii="Arial" w:eastAsia="Times New Roman" w:hAnsi="Arial" w:cs="Arial"/>
          <w:szCs w:val="20"/>
          <w:lang w:val="de-DE" w:eastAsia="de-DE"/>
        </w:rPr>
        <w:t> </w:t>
      </w:r>
      <w:r w:rsidRPr="00B65CCA">
        <w:rPr>
          <w:rFonts w:ascii="Arial" w:eastAsia="Times New Roman" w:hAnsi="Arial" w:cs="Arial"/>
          <w:szCs w:val="20"/>
          <w:lang w:val="de-DE" w:eastAsia="de-DE"/>
        </w:rPr>
        <w:t>B. bei Kunden</w:t>
      </w:r>
      <w:r w:rsidR="00AB2D48" w:rsidRPr="00B65CCA">
        <w:rPr>
          <w:rFonts w:ascii="Arial" w:eastAsia="Times New Roman" w:hAnsi="Arial" w:cs="Arial"/>
          <w:szCs w:val="20"/>
          <w:lang w:val="de-DE" w:eastAsia="de-DE"/>
        </w:rPr>
        <w:t>r</w:t>
      </w:r>
      <w:r w:rsidRPr="00B65CCA">
        <w:rPr>
          <w:rFonts w:ascii="Arial" w:eastAsia="Times New Roman" w:hAnsi="Arial" w:cs="Arial"/>
          <w:szCs w:val="20"/>
          <w:lang w:val="de-DE" w:eastAsia="de-DE"/>
        </w:rPr>
        <w:t>eklamationen, dass die Einhaltung aller fixierten Anforderungen, innerhalb der gesetzlichen Aufbewahrungsdauer, lückenlos belegt werden können.</w:t>
      </w:r>
    </w:p>
    <w:p w14:paraId="39C1AC83" w14:textId="77777777" w:rsidR="00B65CCA" w:rsidRDefault="00B65CCA" w:rsidP="00FB389F">
      <w:pPr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</w:p>
    <w:p w14:paraId="428EE626" w14:textId="77777777" w:rsidR="00FB389F" w:rsidRPr="00B65CCA" w:rsidRDefault="00FB389F" w:rsidP="00FB389F">
      <w:pPr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B65CCA">
        <w:rPr>
          <w:rFonts w:ascii="Arial" w:eastAsia="Times New Roman" w:hAnsi="Arial" w:cs="Arial"/>
          <w:b/>
          <w:sz w:val="28"/>
          <w:szCs w:val="28"/>
          <w:lang w:val="de-DE" w:eastAsia="de-DE"/>
        </w:rPr>
        <w:t>Genehmigung und Herausgabe</w:t>
      </w:r>
    </w:p>
    <w:p w14:paraId="7F200B7B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0B65590F" w14:textId="501866C1" w:rsidR="00FB389F" w:rsidRPr="006A7FEE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6A7FEE">
        <w:rPr>
          <w:rFonts w:ascii="Arial" w:eastAsia="Times New Roman" w:hAnsi="Arial" w:cs="Arial"/>
          <w:szCs w:val="20"/>
          <w:lang w:val="de-DE" w:eastAsia="de-DE"/>
        </w:rPr>
        <w:t>Dokumente und Daten werden, jeweils nach Erstellung, von den verantwortlichen Abteilungen geprüft, geneh</w:t>
      </w:r>
      <w:r w:rsidR="004B7301" w:rsidRPr="006A7FEE">
        <w:rPr>
          <w:rFonts w:ascii="Arial" w:eastAsia="Times New Roman" w:hAnsi="Arial" w:cs="Arial"/>
          <w:szCs w:val="20"/>
          <w:lang w:val="de-DE" w:eastAsia="de-DE"/>
        </w:rPr>
        <w:softHyphen/>
      </w:r>
      <w:r w:rsidRPr="006A7FEE">
        <w:rPr>
          <w:rFonts w:ascii="Arial" w:eastAsia="Times New Roman" w:hAnsi="Arial" w:cs="Arial"/>
          <w:szCs w:val="20"/>
          <w:lang w:val="de-DE" w:eastAsia="de-DE"/>
        </w:rPr>
        <w:t xml:space="preserve">migt und herausgegeben </w:t>
      </w:r>
      <w:r w:rsidR="00E26F76" w:rsidRPr="006A7FEE">
        <w:rPr>
          <w:rFonts w:ascii="Arial" w:eastAsia="Times New Roman" w:hAnsi="Arial" w:cs="Arial"/>
          <w:szCs w:val="20"/>
          <w:lang w:val="de-DE" w:eastAsia="de-DE"/>
        </w:rPr>
        <w:t>(siehe VA 0</w:t>
      </w:r>
      <w:r w:rsidRPr="006A7FEE">
        <w:rPr>
          <w:rFonts w:ascii="Arial" w:eastAsia="Times New Roman" w:hAnsi="Arial" w:cs="Arial"/>
          <w:szCs w:val="20"/>
          <w:lang w:val="de-DE" w:eastAsia="de-DE"/>
        </w:rPr>
        <w:t>3). Ziel ist die rechtzeitige Bereitstellung gültiger Dokumente und Daten an erforderlicher Stelle.</w:t>
      </w:r>
    </w:p>
    <w:p w14:paraId="282F0604" w14:textId="77777777" w:rsidR="009968B9" w:rsidRPr="00B65CCA" w:rsidRDefault="009968B9" w:rsidP="00FB389F">
      <w:pPr>
        <w:jc w:val="center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55814D5F" w14:textId="77777777" w:rsidR="00FB389F" w:rsidRPr="00B65CCA" w:rsidRDefault="00FB389F" w:rsidP="00FB389F">
      <w:pPr>
        <w:jc w:val="center"/>
        <w:rPr>
          <w:rFonts w:ascii="Arial" w:eastAsia="Times New Roman" w:hAnsi="Arial" w:cs="Arial"/>
          <w:b/>
          <w:sz w:val="28"/>
          <w:szCs w:val="28"/>
          <w:lang w:val="de-DE" w:eastAsia="de-DE"/>
        </w:rPr>
      </w:pPr>
      <w:r w:rsidRPr="00B65CCA">
        <w:rPr>
          <w:rFonts w:ascii="Arial" w:eastAsia="Times New Roman" w:hAnsi="Arial" w:cs="Arial"/>
          <w:b/>
          <w:sz w:val="28"/>
          <w:szCs w:val="28"/>
          <w:lang w:val="de-DE" w:eastAsia="de-DE"/>
        </w:rPr>
        <w:t>Änderung</w:t>
      </w:r>
    </w:p>
    <w:p w14:paraId="5C820A8E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03DBC9A6" w14:textId="6958AC82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Notwendige Änderungen in den AMS Dokumenten werden von </w:t>
      </w:r>
      <w:r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der </w:t>
      </w:r>
      <w:r w:rsidR="00EB19AF" w:rsidRPr="00424A1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GF</w:t>
      </w:r>
      <w:r w:rsidR="00424A17" w:rsidRPr="00424A1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/GL</w:t>
      </w:r>
      <w:r w:rsidR="0025137B" w:rsidRPr="00424A1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,</w:t>
      </w:r>
      <w:r w:rsidRPr="00424A1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 in</w:t>
      </w:r>
      <w:r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 Abstimmung mit dem AMB</w:t>
      </w:r>
      <w:r w:rsidR="0025137B"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,</w:t>
      </w:r>
      <w:r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 vorge</w:t>
      </w:r>
      <w:r w:rsidR="004B7301"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softHyphen/>
      </w:r>
      <w:r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nommen. Änderung</w:t>
      </w:r>
      <w:r w:rsidR="007C716B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sversionen </w:t>
      </w:r>
      <w:r w:rsidRPr="00281CF7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>werden</w:t>
      </w:r>
      <w:r w:rsidR="007C716B">
        <w:rPr>
          <w:rFonts w:ascii="Arial" w:eastAsia="Times New Roman" w:hAnsi="Arial" w:cs="Arial"/>
          <w:color w:val="000000" w:themeColor="accent6"/>
          <w:szCs w:val="20"/>
          <w:lang w:val="de-DE" w:eastAsia="de-DE"/>
        </w:rPr>
        <w:t xml:space="preserve"> in den Inhaltsverzeichnissen nummeriert und sind </w:t>
      </w:r>
      <w:r w:rsidRPr="00B65CCA">
        <w:rPr>
          <w:rFonts w:ascii="Arial" w:eastAsia="Times New Roman" w:hAnsi="Arial" w:cs="Arial"/>
          <w:szCs w:val="20"/>
          <w:lang w:val="de-DE" w:eastAsia="de-DE"/>
        </w:rPr>
        <w:t>i</w:t>
      </w:r>
      <w:r w:rsidR="007C716B">
        <w:rPr>
          <w:rFonts w:ascii="Arial" w:eastAsia="Times New Roman" w:hAnsi="Arial" w:cs="Arial"/>
          <w:szCs w:val="20"/>
          <w:lang w:val="de-DE" w:eastAsia="de-DE"/>
        </w:rPr>
        <w:t>n den digitalen Ä</w:t>
      </w:r>
      <w:r w:rsidRPr="00B65CCA">
        <w:rPr>
          <w:rFonts w:ascii="Arial" w:eastAsia="Times New Roman" w:hAnsi="Arial" w:cs="Arial"/>
          <w:szCs w:val="20"/>
          <w:lang w:val="de-DE" w:eastAsia="de-DE"/>
        </w:rPr>
        <w:t>nderungsordner</w:t>
      </w:r>
      <w:r w:rsidR="007C716B">
        <w:rPr>
          <w:rFonts w:ascii="Arial" w:eastAsia="Times New Roman" w:hAnsi="Arial" w:cs="Arial"/>
          <w:szCs w:val="20"/>
          <w:lang w:val="de-DE" w:eastAsia="de-DE"/>
        </w:rPr>
        <w:t>n (benannte Subordner ARCHIV)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abzulegen. </w:t>
      </w:r>
    </w:p>
    <w:p w14:paraId="21D3938A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4CCFCB61" w14:textId="2A7AFC53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Kopien des alten geänderten Dokumentes sind dem Ablaufprozess zu entziehen. Neu erstellte AMS-Dokumente sind wieder im zugehörigen </w:t>
      </w:r>
      <w:r w:rsidR="007C716B">
        <w:rPr>
          <w:rFonts w:ascii="Arial" w:eastAsia="Times New Roman" w:hAnsi="Arial" w:cs="Arial"/>
          <w:szCs w:val="20"/>
          <w:lang w:val="de-DE" w:eastAsia="de-DE"/>
        </w:rPr>
        <w:t xml:space="preserve">Ordner </w:t>
      </w:r>
      <w:r w:rsidRPr="00B65CCA">
        <w:rPr>
          <w:rFonts w:ascii="Arial" w:eastAsia="Times New Roman" w:hAnsi="Arial" w:cs="Arial"/>
          <w:szCs w:val="20"/>
          <w:lang w:val="de-DE" w:eastAsia="de-DE"/>
        </w:rPr>
        <w:t>mit einer neuen Versionsnummer</w:t>
      </w:r>
      <w:r w:rsidR="005D3BCB" w:rsidRPr="00B65CCA">
        <w:rPr>
          <w:rFonts w:ascii="Arial" w:eastAsia="Times New Roman" w:hAnsi="Arial" w:cs="Arial"/>
          <w:szCs w:val="20"/>
          <w:lang w:val="de-DE" w:eastAsia="de-DE"/>
        </w:rPr>
        <w:t>,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im Inhaltverzeichnis für die Nutzer</w:t>
      </w:r>
      <w:r w:rsidR="005D3BCB" w:rsidRPr="00B65CCA">
        <w:rPr>
          <w:rFonts w:ascii="Arial" w:eastAsia="Times New Roman" w:hAnsi="Arial" w:cs="Arial"/>
          <w:szCs w:val="20"/>
          <w:lang w:val="de-DE" w:eastAsia="de-DE"/>
        </w:rPr>
        <w:t>,</w:t>
      </w:r>
      <w:r w:rsidRPr="00B65CCA">
        <w:rPr>
          <w:rFonts w:ascii="Arial" w:eastAsia="Times New Roman" w:hAnsi="Arial" w:cs="Arial"/>
          <w:szCs w:val="20"/>
          <w:lang w:val="de-DE" w:eastAsia="de-DE"/>
        </w:rPr>
        <w:t xml:space="preserve"> bereitzustellen.  </w:t>
      </w:r>
    </w:p>
    <w:p w14:paraId="5ABA358F" w14:textId="77777777" w:rsidR="00FB389F" w:rsidRPr="00B65CCA" w:rsidRDefault="00FB389F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34A58950" w14:textId="77777777" w:rsidR="00FB389F" w:rsidRPr="00B65CCA" w:rsidRDefault="00FB389F" w:rsidP="00FB389F">
      <w:pPr>
        <w:jc w:val="both"/>
        <w:rPr>
          <w:rFonts w:ascii="Arial" w:eastAsia="Times New Roman" w:hAnsi="Arial" w:cs="Arial"/>
          <w:szCs w:val="20"/>
          <w:lang w:val="de-DE" w:eastAsia="de-DE"/>
        </w:rPr>
      </w:pPr>
      <w:r w:rsidRPr="00B65CCA">
        <w:rPr>
          <w:rFonts w:ascii="Arial" w:eastAsia="Times New Roman" w:hAnsi="Arial" w:cs="Arial"/>
          <w:szCs w:val="20"/>
          <w:lang w:val="de-DE" w:eastAsia="de-DE"/>
        </w:rPr>
        <w:t>Alle digitalen Daten werden gemäß Verfahrensanweisung</w:t>
      </w:r>
      <w:r w:rsidRPr="00B65CCA">
        <w:rPr>
          <w:rFonts w:ascii="Arial" w:eastAsia="Times New Roman" w:hAnsi="Arial" w:cs="Arial"/>
          <w:b/>
          <w:szCs w:val="20"/>
          <w:lang w:val="de-DE" w:eastAsia="de-DE"/>
        </w:rPr>
        <w:t xml:space="preserve"> VA </w:t>
      </w:r>
      <w:smartTag w:uri="schemas.1und1.de/SoftPhone" w:element="Rufnummer">
        <w:r w:rsidRPr="00B65CCA">
          <w:rPr>
            <w:rFonts w:ascii="Arial" w:eastAsia="Times New Roman" w:hAnsi="Arial" w:cs="Arial"/>
            <w:b/>
            <w:szCs w:val="20"/>
            <w:lang w:val="de-DE" w:eastAsia="de-DE"/>
          </w:rPr>
          <w:t>04</w:t>
        </w:r>
      </w:smartTag>
      <w:r w:rsidRPr="00B65CCA">
        <w:rPr>
          <w:rFonts w:ascii="Arial" w:eastAsia="Times New Roman" w:hAnsi="Arial" w:cs="Arial"/>
          <w:b/>
          <w:szCs w:val="20"/>
          <w:lang w:val="de-DE" w:eastAsia="de-DE"/>
        </w:rPr>
        <w:t xml:space="preserve"> </w:t>
      </w:r>
      <w:r w:rsidRPr="00B65CCA">
        <w:rPr>
          <w:rFonts w:ascii="Arial" w:eastAsia="Times New Roman" w:hAnsi="Arial" w:cs="Arial"/>
          <w:szCs w:val="20"/>
          <w:lang w:val="de-DE" w:eastAsia="de-DE"/>
        </w:rPr>
        <w:t>durch den AMB generell gesichert.</w:t>
      </w:r>
    </w:p>
    <w:p w14:paraId="4D919E26" w14:textId="77777777" w:rsidR="00FB389F" w:rsidRPr="00B65CCA" w:rsidRDefault="00FB389F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74EE801D" w14:textId="77777777" w:rsidR="00147792" w:rsidRPr="00B65CCA" w:rsidRDefault="00147792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7CB5C960" w14:textId="77777777" w:rsidR="00147792" w:rsidRPr="00B65CCA" w:rsidRDefault="00147792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275CC848" w14:textId="77777777" w:rsidR="005F6372" w:rsidRPr="00B65CCA" w:rsidRDefault="005F6372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Cs w:val="20"/>
          <w:lang w:val="de-DE" w:eastAsia="de-DE"/>
        </w:rPr>
      </w:pPr>
    </w:p>
    <w:p w14:paraId="2F06990D" w14:textId="77777777" w:rsidR="009968B9" w:rsidRPr="00B65CCA" w:rsidRDefault="009968B9" w:rsidP="009968B9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69888023" w14:textId="77777777" w:rsidR="009968B9" w:rsidRPr="00B65CCA" w:rsidRDefault="009968B9" w:rsidP="009968B9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34A8A2E5" w14:textId="77777777" w:rsidR="009968B9" w:rsidRPr="00B65CCA" w:rsidRDefault="009968B9" w:rsidP="009968B9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2A3C65D5" w14:textId="77777777" w:rsidR="009968B9" w:rsidRPr="00B65CCA" w:rsidRDefault="009968B9" w:rsidP="009968B9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6A1B5B9E" w14:textId="77777777" w:rsidR="009968B9" w:rsidRPr="00B65CCA" w:rsidRDefault="009968B9" w:rsidP="009968B9">
      <w:pPr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246E0C4C" w14:textId="77777777" w:rsidR="009C7B39" w:rsidRDefault="009C7B39" w:rsidP="009968B9">
      <w:pPr>
        <w:pStyle w:val="Kopfzeile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2CDA8020" w14:textId="77777777" w:rsidR="009C7B39" w:rsidRDefault="009C7B39" w:rsidP="009968B9">
      <w:pPr>
        <w:pStyle w:val="Kopfzeile"/>
        <w:jc w:val="both"/>
        <w:rPr>
          <w:rFonts w:ascii="Arial" w:eastAsia="Times New Roman" w:hAnsi="Arial" w:cs="Arial"/>
          <w:b/>
          <w:szCs w:val="20"/>
          <w:lang w:val="de-DE" w:eastAsia="de-DE"/>
        </w:rPr>
      </w:pPr>
    </w:p>
    <w:p w14:paraId="55720E29" w14:textId="77777777" w:rsidR="009C7B39" w:rsidRPr="00B65CCA" w:rsidRDefault="009C7B3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5E65961D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A3CBD69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73B4E0C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92DE13A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02630C2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4294F48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FD3379B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508DC7F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FFFCDE7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38AE1A0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1FE6E47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18D94148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1AA366E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59F7118C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7668FDCD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4DD886D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1C78741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E9C914B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77ECB6D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064F04FE" w14:textId="3201565A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07F496F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E30F3E7" w14:textId="2AF1AC24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709B0D2" w14:textId="7777777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59D14234" w14:textId="3896063E" w:rsidR="00737CE0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DA17E54" w14:textId="77777777" w:rsidR="009C7B39" w:rsidRDefault="009C7B3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27781A1C" w14:textId="081593D8" w:rsidR="009C7B39" w:rsidRDefault="009C7B3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64057BF1" w14:textId="28859F0A" w:rsidR="009C7B39" w:rsidRDefault="009C7B3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58E637C" w14:textId="6EDD7489" w:rsidR="009C7B39" w:rsidRPr="00B65CCA" w:rsidRDefault="009C7B39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42D93FAD" w14:textId="5BFA2DAC" w:rsidR="00737CE0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5603EB70" w14:textId="559288F9" w:rsidR="00B65CCA" w:rsidRPr="00B65CCA" w:rsidRDefault="00B65CCA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p w14:paraId="3AB3E04D" w14:textId="3F06FCB7" w:rsidR="00737CE0" w:rsidRPr="00B65CCA" w:rsidRDefault="00737CE0" w:rsidP="009968B9">
      <w:pPr>
        <w:pStyle w:val="Kopfzeile"/>
        <w:jc w:val="both"/>
        <w:rPr>
          <w:rFonts w:ascii="Arial" w:hAnsi="Arial" w:cs="Arial"/>
          <w:sz w:val="12"/>
          <w:szCs w:val="12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60"/>
        <w:gridCol w:w="2482"/>
        <w:gridCol w:w="2585"/>
      </w:tblGrid>
      <w:tr w:rsidR="009968B9" w:rsidRPr="00B65CCA" w14:paraId="174BA9E9" w14:textId="77777777" w:rsidTr="008B123F"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83C2" w14:textId="04FCC73C" w:rsidR="009968B9" w:rsidRPr="00B65CCA" w:rsidRDefault="009968B9" w:rsidP="008B123F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B65CCA">
              <w:rPr>
                <w:rFonts w:ascii="Arial" w:hAnsi="Arial" w:cs="Arial"/>
                <w:b/>
                <w:bCs/>
              </w:rPr>
              <w:t>HB I 1.4</w:t>
            </w:r>
            <w:r w:rsidR="00B65CCA">
              <w:rPr>
                <w:rFonts w:ascii="Arial" w:hAnsi="Arial" w:cs="Arial"/>
                <w:b/>
                <w:bCs/>
              </w:rPr>
              <w:t xml:space="preserve"> </w:t>
            </w:r>
            <w:r w:rsidR="00C116C0">
              <w:rPr>
                <w:rFonts w:ascii="Arial" w:hAnsi="Arial" w:cs="Arial"/>
                <w:b/>
              </w:rPr>
              <w:t>Seite 12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9F57" w14:textId="4414F124" w:rsidR="009968B9" w:rsidRPr="00B65CCA" w:rsidRDefault="009968B9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65CCA">
              <w:rPr>
                <w:rFonts w:ascii="Arial" w:hAnsi="Arial" w:cs="Arial"/>
                <w:b/>
              </w:rPr>
              <w:t>Erstellung</w:t>
            </w:r>
            <w:proofErr w:type="spellEnd"/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9BCE" w14:textId="1CB4F49D" w:rsidR="009968B9" w:rsidRPr="00B65CCA" w:rsidRDefault="00B65CCA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Prüfung - Version 1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0773" w14:textId="77777777" w:rsidR="009968B9" w:rsidRPr="00B65CCA" w:rsidRDefault="009968B9" w:rsidP="008B123F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B65CCA">
              <w:rPr>
                <w:rFonts w:ascii="Arial" w:hAnsi="Arial" w:cs="Arial"/>
                <w:b/>
              </w:rPr>
              <w:t>Genehmigung</w:t>
            </w:r>
          </w:p>
        </w:tc>
      </w:tr>
      <w:tr w:rsidR="009968B9" w:rsidRPr="00B65CCA" w14:paraId="534017AD" w14:textId="77777777" w:rsidTr="008B123F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0F09" w14:textId="77777777" w:rsidR="009968B9" w:rsidRPr="00B65CCA" w:rsidRDefault="009968B9" w:rsidP="008B123F">
            <w:pPr>
              <w:pStyle w:val="Kopfzeile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Datum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995F" w14:textId="276B1F17" w:rsidR="009968B9" w:rsidRPr="00B65CCA" w:rsidRDefault="001761B4" w:rsidP="008B123F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A7D4" w14:textId="4B64054E" w:rsidR="009968B9" w:rsidRPr="00B65CCA" w:rsidRDefault="001761B4" w:rsidP="008B123F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5371" w14:textId="2D97EA2D" w:rsidR="009968B9" w:rsidRPr="00B65CCA" w:rsidRDefault="001761B4" w:rsidP="008B123F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01.04.2019</w:t>
            </w:r>
          </w:p>
        </w:tc>
      </w:tr>
      <w:tr w:rsidR="009968B9" w:rsidRPr="00B65CCA" w14:paraId="0E0EF125" w14:textId="77777777" w:rsidTr="008B123F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2AFA" w14:textId="77777777" w:rsidR="009968B9" w:rsidRPr="00B65CCA" w:rsidRDefault="009968B9" w:rsidP="008B123F">
            <w:pPr>
              <w:pStyle w:val="Kopfzeile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Funktion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29E93" w14:textId="062A4656" w:rsidR="009968B9" w:rsidRPr="00B65CCA" w:rsidRDefault="009968B9" w:rsidP="007C716B">
            <w:pPr>
              <w:pStyle w:val="Kopfzeile"/>
              <w:jc w:val="center"/>
              <w:rPr>
                <w:rFonts w:ascii="Arial" w:hAnsi="Arial" w:cs="Arial"/>
              </w:rPr>
            </w:pPr>
            <w:proofErr w:type="spellStart"/>
            <w:r w:rsidRPr="00B65CCA">
              <w:rPr>
                <w:rFonts w:ascii="Arial" w:hAnsi="Arial" w:cs="Arial"/>
              </w:rPr>
              <w:t>Si</w:t>
            </w:r>
            <w:r w:rsidR="007C716B">
              <w:rPr>
                <w:rFonts w:ascii="Arial" w:hAnsi="Arial" w:cs="Arial"/>
              </w:rPr>
              <w:t>f</w:t>
            </w:r>
            <w:r w:rsidRPr="00B65CCA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3A82" w14:textId="3E1D6A93" w:rsidR="009968B9" w:rsidRPr="00B65CCA" w:rsidRDefault="009968B9" w:rsidP="007C716B">
            <w:pPr>
              <w:pStyle w:val="Kopfzeile"/>
              <w:jc w:val="center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AMB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33D2E" w14:textId="225EB6D6" w:rsidR="009968B9" w:rsidRPr="00B65CCA" w:rsidRDefault="009968B9" w:rsidP="008B123F">
            <w:pPr>
              <w:pStyle w:val="Kopfzeile"/>
              <w:jc w:val="center"/>
              <w:rPr>
                <w:rFonts w:ascii="Arial" w:hAnsi="Arial" w:cs="Arial"/>
              </w:rPr>
            </w:pPr>
            <w:r w:rsidRPr="00B65CCA">
              <w:rPr>
                <w:rFonts w:ascii="Arial" w:hAnsi="Arial" w:cs="Arial"/>
              </w:rPr>
              <w:t>GF</w:t>
            </w:r>
          </w:p>
        </w:tc>
      </w:tr>
      <w:tr w:rsidR="00885EFA" w14:paraId="7BB0DE6C" w14:textId="77777777" w:rsidTr="009C7B39">
        <w:trPr>
          <w:trHeight w:val="109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DAD" w14:textId="043B8677" w:rsidR="00885EFA" w:rsidRDefault="00885EFA" w:rsidP="00885EFA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0B2D" w14:textId="1ED9162E" w:rsidR="009C7B39" w:rsidRPr="009C7B39" w:rsidRDefault="0067414A" w:rsidP="009C7B39">
            <w:pPr>
              <w:ind w:firstLine="720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944" behindDoc="0" locked="0" layoutInCell="1" allowOverlap="1" wp14:anchorId="4E15AE4B" wp14:editId="30927F69">
                  <wp:simplePos x="0" y="0"/>
                  <wp:positionH relativeFrom="column">
                    <wp:posOffset>-38790</wp:posOffset>
                  </wp:positionH>
                  <wp:positionV relativeFrom="paragraph">
                    <wp:posOffset>36333</wp:posOffset>
                  </wp:positionV>
                  <wp:extent cx="1478942" cy="635603"/>
                  <wp:effectExtent l="0" t="0" r="6985" b="0"/>
                  <wp:wrapNone/>
                  <wp:docPr id="3" name="Grafik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93" cy="63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AE68" w14:textId="204F2298" w:rsidR="00885EFA" w:rsidRDefault="0067414A" w:rsidP="00885EFA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2608" behindDoc="0" locked="0" layoutInCell="1" allowOverlap="1" wp14:anchorId="6177D4B4" wp14:editId="7181B770">
                  <wp:simplePos x="0" y="0"/>
                  <wp:positionH relativeFrom="column">
                    <wp:posOffset>-2677</wp:posOffset>
                  </wp:positionH>
                  <wp:positionV relativeFrom="paragraph">
                    <wp:posOffset>147651</wp:posOffset>
                  </wp:positionV>
                  <wp:extent cx="1470340" cy="469127"/>
                  <wp:effectExtent l="0" t="0" r="0" b="7620"/>
                  <wp:wrapNone/>
                  <wp:docPr id="2" name="Grafik 2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13" cy="479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FAE2A" w14:textId="56F56C78" w:rsidR="009C7B39" w:rsidRDefault="009C7B39" w:rsidP="00885EFA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122947B2" w14:textId="77777777" w:rsidR="009C7B39" w:rsidRDefault="009C7B39" w:rsidP="00885EFA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54B02140" w14:textId="77777777" w:rsidR="009C7B39" w:rsidRDefault="009C7B39" w:rsidP="00885EFA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4605C2FD" w14:textId="77777777" w:rsidR="009C7B39" w:rsidRDefault="009C7B39" w:rsidP="00885EFA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8EFC3" w14:textId="58937129" w:rsidR="00885EFA" w:rsidRPr="009C7B39" w:rsidRDefault="0067414A" w:rsidP="009C7B39">
            <w:pPr>
              <w:jc w:val="center"/>
            </w:pPr>
            <w:r>
              <w:rPr>
                <w:rFonts w:ascii="Arial" w:hAnsi="Arial" w:cs="Arial"/>
                <w:b/>
                <w:noProof/>
                <w:color w:val="000000" w:themeColor="accent6"/>
                <w:szCs w:val="18"/>
                <w:lang w:val="de-DE" w:eastAsia="de-DE"/>
              </w:rPr>
              <w:drawing>
                <wp:anchor distT="0" distB="0" distL="114300" distR="114300" simplePos="0" relativeHeight="251649536" behindDoc="0" locked="0" layoutInCell="1" allowOverlap="1" wp14:anchorId="2B692117" wp14:editId="0C34A317">
                  <wp:simplePos x="0" y="0"/>
                  <wp:positionH relativeFrom="column">
                    <wp:posOffset>98398</wp:posOffset>
                  </wp:positionH>
                  <wp:positionV relativeFrom="paragraph">
                    <wp:posOffset>42296</wp:posOffset>
                  </wp:positionV>
                  <wp:extent cx="1176793" cy="676424"/>
                  <wp:effectExtent l="0" t="0" r="444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793" cy="676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A43D5D" w14:textId="77777777" w:rsidR="00AE4637" w:rsidRPr="009968B9" w:rsidRDefault="00AE4637" w:rsidP="00FB389F">
      <w:pPr>
        <w:tabs>
          <w:tab w:val="left" w:pos="708"/>
          <w:tab w:val="center" w:pos="4536"/>
          <w:tab w:val="right" w:pos="9072"/>
        </w:tabs>
        <w:jc w:val="both"/>
        <w:rPr>
          <w:rFonts w:asciiTheme="minorHAnsi" w:eastAsia="Times New Roman" w:hAnsiTheme="minorHAnsi" w:cs="Arial"/>
          <w:sz w:val="4"/>
          <w:szCs w:val="4"/>
          <w:lang w:val="de-DE" w:eastAsia="de-DE"/>
        </w:rPr>
      </w:pPr>
    </w:p>
    <w:sectPr w:rsidR="00AE4637" w:rsidRPr="009968B9" w:rsidSect="009C7B39">
      <w:footerReference w:type="default" r:id="rId16"/>
      <w:pgSz w:w="11907" w:h="16840" w:code="9"/>
      <w:pgMar w:top="1417" w:right="1417" w:bottom="851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BB1C" w14:textId="77777777" w:rsidR="00ED6919" w:rsidRDefault="00ED6919" w:rsidP="0049083A">
      <w:r>
        <w:separator/>
      </w:r>
    </w:p>
  </w:endnote>
  <w:endnote w:type="continuationSeparator" w:id="0">
    <w:p w14:paraId="68AECDF1" w14:textId="77777777" w:rsidR="00ED6919" w:rsidRDefault="00ED6919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1279" w14:textId="72B2FE2C" w:rsidR="00B23482" w:rsidRPr="00737CE0" w:rsidRDefault="00B23482" w:rsidP="00B23482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737CE0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CF640C">
      <w:rPr>
        <w:rFonts w:ascii="Arial" w:hAnsi="Arial" w:cs="Arial"/>
        <w:b/>
        <w:sz w:val="16"/>
        <w:szCs w:val="16"/>
      </w:rPr>
      <w:t xml:space="preserve">Max-Hempel-Straße 3 / 86153 </w:t>
    </w:r>
    <w:r w:rsidRPr="00737CE0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6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55B0" w14:textId="77777777" w:rsidR="00ED6919" w:rsidRDefault="00ED6919" w:rsidP="0049083A">
      <w:r>
        <w:separator/>
      </w:r>
    </w:p>
  </w:footnote>
  <w:footnote w:type="continuationSeparator" w:id="0">
    <w:p w14:paraId="78AABDCB" w14:textId="77777777" w:rsidR="00ED6919" w:rsidRDefault="00ED6919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BD21301_"/>
      </v:shape>
    </w:pict>
  </w:numPicBullet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6F03A3"/>
    <w:multiLevelType w:val="hybridMultilevel"/>
    <w:tmpl w:val="50FAEA7C"/>
    <w:lvl w:ilvl="0" w:tplc="1ADA9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3416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C9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BE7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ED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03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581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44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66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86444">
    <w:abstractNumId w:val="2"/>
  </w:num>
  <w:num w:numId="2" w16cid:durableId="553467891">
    <w:abstractNumId w:val="0"/>
  </w:num>
  <w:num w:numId="3" w16cid:durableId="1479612114">
    <w:abstractNumId w:val="4"/>
  </w:num>
  <w:num w:numId="4" w16cid:durableId="1584756965">
    <w:abstractNumId w:val="3"/>
  </w:num>
  <w:num w:numId="5" w16cid:durableId="344092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2D"/>
    <w:rsid w:val="00012EBF"/>
    <w:rsid w:val="00014010"/>
    <w:rsid w:val="00021E09"/>
    <w:rsid w:val="0002268C"/>
    <w:rsid w:val="0004365F"/>
    <w:rsid w:val="000A0A7C"/>
    <w:rsid w:val="000D5571"/>
    <w:rsid w:val="00105290"/>
    <w:rsid w:val="00147792"/>
    <w:rsid w:val="001761B4"/>
    <w:rsid w:val="001856C0"/>
    <w:rsid w:val="001A14E9"/>
    <w:rsid w:val="001B0C09"/>
    <w:rsid w:val="001C22C0"/>
    <w:rsid w:val="001E0DEB"/>
    <w:rsid w:val="00201AAD"/>
    <w:rsid w:val="002378AE"/>
    <w:rsid w:val="0025137B"/>
    <w:rsid w:val="00261EC7"/>
    <w:rsid w:val="00266BA5"/>
    <w:rsid w:val="0027230F"/>
    <w:rsid w:val="00281CF7"/>
    <w:rsid w:val="00297A49"/>
    <w:rsid w:val="002B24B7"/>
    <w:rsid w:val="002B25F9"/>
    <w:rsid w:val="002B308D"/>
    <w:rsid w:val="002E7ECC"/>
    <w:rsid w:val="003010DD"/>
    <w:rsid w:val="00307709"/>
    <w:rsid w:val="003249B3"/>
    <w:rsid w:val="003360E1"/>
    <w:rsid w:val="00387A92"/>
    <w:rsid w:val="003B01B6"/>
    <w:rsid w:val="003C50A7"/>
    <w:rsid w:val="003E3A2A"/>
    <w:rsid w:val="00404BE3"/>
    <w:rsid w:val="00424A17"/>
    <w:rsid w:val="00451E83"/>
    <w:rsid w:val="00464F1C"/>
    <w:rsid w:val="00477743"/>
    <w:rsid w:val="00485DC2"/>
    <w:rsid w:val="004867E2"/>
    <w:rsid w:val="0049083A"/>
    <w:rsid w:val="004913C1"/>
    <w:rsid w:val="00492A52"/>
    <w:rsid w:val="00495300"/>
    <w:rsid w:val="004B7301"/>
    <w:rsid w:val="004E3DFC"/>
    <w:rsid w:val="004E5976"/>
    <w:rsid w:val="00512C6F"/>
    <w:rsid w:val="00545725"/>
    <w:rsid w:val="00554351"/>
    <w:rsid w:val="00560649"/>
    <w:rsid w:val="00571BFF"/>
    <w:rsid w:val="00575005"/>
    <w:rsid w:val="005A3BD4"/>
    <w:rsid w:val="005D3BCB"/>
    <w:rsid w:val="005E4C24"/>
    <w:rsid w:val="005F6372"/>
    <w:rsid w:val="00615B17"/>
    <w:rsid w:val="006316CA"/>
    <w:rsid w:val="00634C57"/>
    <w:rsid w:val="00663460"/>
    <w:rsid w:val="00664773"/>
    <w:rsid w:val="0067414A"/>
    <w:rsid w:val="0069076D"/>
    <w:rsid w:val="006A7FEE"/>
    <w:rsid w:val="006B4A21"/>
    <w:rsid w:val="006C0485"/>
    <w:rsid w:val="006E5676"/>
    <w:rsid w:val="00706E8F"/>
    <w:rsid w:val="00717DE8"/>
    <w:rsid w:val="007260FC"/>
    <w:rsid w:val="00737CE0"/>
    <w:rsid w:val="007469EA"/>
    <w:rsid w:val="00752753"/>
    <w:rsid w:val="00755494"/>
    <w:rsid w:val="00771581"/>
    <w:rsid w:val="007928D7"/>
    <w:rsid w:val="00792F9C"/>
    <w:rsid w:val="00794E0A"/>
    <w:rsid w:val="007A1BF6"/>
    <w:rsid w:val="007A490C"/>
    <w:rsid w:val="007A5DFF"/>
    <w:rsid w:val="007B3D66"/>
    <w:rsid w:val="007C716B"/>
    <w:rsid w:val="007D6359"/>
    <w:rsid w:val="007E20FC"/>
    <w:rsid w:val="00864FFD"/>
    <w:rsid w:val="00870313"/>
    <w:rsid w:val="00885EFA"/>
    <w:rsid w:val="00894CCE"/>
    <w:rsid w:val="008B5757"/>
    <w:rsid w:val="008B7DFD"/>
    <w:rsid w:val="008C543D"/>
    <w:rsid w:val="008C635C"/>
    <w:rsid w:val="009063F0"/>
    <w:rsid w:val="009228F4"/>
    <w:rsid w:val="0092361E"/>
    <w:rsid w:val="00973BB9"/>
    <w:rsid w:val="00984027"/>
    <w:rsid w:val="009968B9"/>
    <w:rsid w:val="009B2579"/>
    <w:rsid w:val="009C6722"/>
    <w:rsid w:val="009C7B39"/>
    <w:rsid w:val="009F0232"/>
    <w:rsid w:val="00A11CF8"/>
    <w:rsid w:val="00A95467"/>
    <w:rsid w:val="00AA1683"/>
    <w:rsid w:val="00AA6B0C"/>
    <w:rsid w:val="00AA778A"/>
    <w:rsid w:val="00AB0EBD"/>
    <w:rsid w:val="00AB2D48"/>
    <w:rsid w:val="00AC5AFF"/>
    <w:rsid w:val="00AE3801"/>
    <w:rsid w:val="00AE4637"/>
    <w:rsid w:val="00AF5DC4"/>
    <w:rsid w:val="00B00215"/>
    <w:rsid w:val="00B23482"/>
    <w:rsid w:val="00B34E2D"/>
    <w:rsid w:val="00B64F63"/>
    <w:rsid w:val="00B65CCA"/>
    <w:rsid w:val="00B67557"/>
    <w:rsid w:val="00B7171C"/>
    <w:rsid w:val="00B90772"/>
    <w:rsid w:val="00BB2838"/>
    <w:rsid w:val="00BB6E56"/>
    <w:rsid w:val="00C02A5B"/>
    <w:rsid w:val="00C03712"/>
    <w:rsid w:val="00C116C0"/>
    <w:rsid w:val="00C11939"/>
    <w:rsid w:val="00C2375C"/>
    <w:rsid w:val="00C254B0"/>
    <w:rsid w:val="00C2623B"/>
    <w:rsid w:val="00C32902"/>
    <w:rsid w:val="00C51722"/>
    <w:rsid w:val="00C5789D"/>
    <w:rsid w:val="00C768F5"/>
    <w:rsid w:val="00C77B12"/>
    <w:rsid w:val="00C929CE"/>
    <w:rsid w:val="00CB5213"/>
    <w:rsid w:val="00CC6958"/>
    <w:rsid w:val="00CD2909"/>
    <w:rsid w:val="00CD676E"/>
    <w:rsid w:val="00CF32D6"/>
    <w:rsid w:val="00CF57ED"/>
    <w:rsid w:val="00CF640C"/>
    <w:rsid w:val="00CF714A"/>
    <w:rsid w:val="00D10E4D"/>
    <w:rsid w:val="00D54043"/>
    <w:rsid w:val="00D80A85"/>
    <w:rsid w:val="00D9641C"/>
    <w:rsid w:val="00DD3D1A"/>
    <w:rsid w:val="00DD4EDA"/>
    <w:rsid w:val="00DE1F53"/>
    <w:rsid w:val="00E1569E"/>
    <w:rsid w:val="00E26F76"/>
    <w:rsid w:val="00E35B22"/>
    <w:rsid w:val="00E37E2A"/>
    <w:rsid w:val="00E74C19"/>
    <w:rsid w:val="00E93309"/>
    <w:rsid w:val="00E967D3"/>
    <w:rsid w:val="00EB19AF"/>
    <w:rsid w:val="00EB61B2"/>
    <w:rsid w:val="00ED6919"/>
    <w:rsid w:val="00F33E61"/>
    <w:rsid w:val="00F47016"/>
    <w:rsid w:val="00F82B29"/>
    <w:rsid w:val="00FB389F"/>
    <w:rsid w:val="00FE74F9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1und1.de/SoftPhone" w:url=" " w:name="Rufnummer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670827B4-F854-49AA-92EC-FB8CEE13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Props1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40AF9-6401-47A6-9CA9-C278AE698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3434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ALTENGROUP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72</cp:revision>
  <cp:lastPrinted>2015-12-07T14:38:00Z</cp:lastPrinted>
  <dcterms:created xsi:type="dcterms:W3CDTF">2016-04-13T14:08:00Z</dcterms:created>
  <dcterms:modified xsi:type="dcterms:W3CDTF">2023-03-20T08:46:00Z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